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drawing>
          <wp:inline distT="0" distB="0" distL="0" distR="0">
            <wp:extent cx="2476500" cy="10763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Bdr>
          <w:bottom w:val="single" w:color="CCCCCC" w:sz="4" w:space="8"/>
        </w:pBdr>
        <w:spacing w:after="300"/>
        <w:jc w:val="center"/>
      </w:pPr>
      <w:r>
        <w:rPr>
          <w:sz w:val="2"/>
          <w:szCs w:val="2"/>
        </w:rPr>
        <w:t xml:space="preserve"/>
      </w:r>
    </w:p>
    <w:p>
      <w:pPr>
        <w:spacing w:after="100"/>
        <w:jc w:val="center"/>
      </w:pPr>
      <w:r>
        <w:rPr>
          <w:rFonts w:ascii="Calibri" w:cs="Calibri" w:eastAsia="Calibri" w:hAnsi="Calibri"/>
          <w:b/>
          <w:bCs/>
          <w:color w:val="1A1A1A"/>
          <w:sz w:val="40"/>
          <w:szCs w:val="40"/>
        </w:rPr>
        <w:t xml:space="preserve">Clinic Portal Quick-Start Guide</w:t>
      </w:r>
    </w:p>
    <w:p>
      <w:pPr>
        <w:spacing w:after="60"/>
        <w:jc w:val="center"/>
      </w:pPr>
      <w:r>
        <w:rPr>
          <w:rFonts w:ascii="Calibri" w:cs="Calibri" w:eastAsia="Calibri" w:hAnsi="Calibri"/>
          <w:i/>
          <w:iCs/>
          <w:color w:val="5A5A5A"/>
          <w:sz w:val="24"/>
          <w:szCs w:val="24"/>
        </w:rPr>
        <w:t xml:space="preserve">For clinic staff — how to use your GritLeanPulse partner portal</w:t>
      </w:r>
    </w:p>
    <w:p>
      <w:pPr>
        <w:spacing w:after="400"/>
        <w:jc w:val="center"/>
      </w:pPr>
      <w:r>
        <w:rPr>
          <w:rFonts w:ascii="Calibri" w:cs="Calibri" w:eastAsia="Calibri" w:hAnsi="Calibri"/>
          <w:color w:val="5A5A5A"/>
          <w:sz w:val="18"/>
          <w:szCs w:val="18"/>
        </w:rPr>
        <w:t xml:space="preserve">GritLeanPulse — SJK &amp; Sons LLC</w:t>
      </w:r>
    </w:p>
    <w:p>
      <w:pPr>
        <w:pStyle w:val="Heading1"/>
        <w:pBdr>
          <w:bottom w:val="single" w:color="CCCCCC" w:sz="4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1A1A1A"/>
          <w:sz w:val="28"/>
          <w:szCs w:val="28"/>
        </w:rPr>
        <w:t xml:space="preserve">1. Getting Started</w:t>
      </w:r>
    </w:p>
    <w:p>
      <w:pPr>
        <w:spacing w:after="16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1"/>
          <w:szCs w:val="21"/>
        </w:rPr>
        <w:t xml:space="preserve">Go to gritleanpulse.com/clinic-portal. The first staff member from your practice to sign up registers as the account admin; every teammate after that registers their own name and PIN under the same clinic code. Each person has their own separate login — there is no single shared password to manage or lose track of.</w:t>
      </w:r>
    </w:p>
    <w:p>
      <w:pPr>
        <w:pStyle w:val="ListParagraph"/>
        <w:numPr>
          <w:ilvl w:val="0"/>
          <w:numId w:val="1"/>
        </w:numPr>
        <w:spacing w:after="90" w:line="264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Enter your clinic code, your name, and choose a PIN.</w:t>
      </w:r>
    </w:p>
    <w:p>
      <w:pPr>
        <w:pStyle w:val="ListParagraph"/>
        <w:numPr>
          <w:ilvl w:val="0"/>
          <w:numId w:val="1"/>
        </w:numPr>
        <w:spacing w:after="90" w:line="264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From then on, sign in with that same clinic code, name, and PIN — your session stays active for 12 hours.</w:t>
      </w:r>
    </w:p>
    <w:p>
      <w:pPr>
        <w:pStyle w:val="Heading1"/>
        <w:pBdr>
          <w:bottom w:val="single" w:color="CCCCCC" w:sz="4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1A1A1A"/>
          <w:sz w:val="28"/>
          <w:szCs w:val="28"/>
        </w:rPr>
        <w:t xml:space="preserve">2. Your Patient Roster</w:t>
      </w:r>
    </w:p>
    <w:p>
      <w:pPr>
        <w:spacing w:after="16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1"/>
          <w:szCs w:val="21"/>
        </w:rPr>
        <w:t xml:space="preserve">After signing in, you land on your roster — every patient currently enrolled with your clinic code. At the top, four summary numbers give you the state of your whole patient population at a glance: total active patients, average weight change, 14-day check-in rate, and how many patients currently have a flag.</w:t>
      </w:r>
    </w:p>
    <w:p>
      <w:pPr>
        <w:pStyle w:val="Heading2"/>
        <w:spacing w:after="120" w:before="260"/>
      </w:pPr>
      <w:r>
        <w:rPr>
          <w:rFonts w:ascii="Calibri" w:cs="Calibri" w:eastAsia="Calibri" w:hAnsi="Calibri"/>
          <w:b/>
          <w:bCs/>
          <w:color w:val="1A1A1A"/>
          <w:sz w:val="24"/>
          <w:szCs w:val="24"/>
        </w:rPr>
        <w:t xml:space="preserve">Automatic Flags</w:t>
      </w:r>
    </w:p>
    <w:p>
      <w:pPr>
        <w:spacing w:after="16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1"/>
          <w:szCs w:val="21"/>
        </w:rPr>
        <w:t xml:space="preserve">The roster surfaces two things automatically, so you never have to comb through every patient one by one to find who needs attention:</w:t>
      </w:r>
    </w:p>
    <w:p>
      <w:pPr>
        <w:pStyle w:val="ListParagraph"/>
        <w:numPr>
          <w:ilvl w:val="0"/>
          <w:numId w:val="1"/>
        </w:numPr>
        <w:spacing w:after="90" w:line="264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Overdue for check-in — a patient hasn't logged in 10 or more days.</w:t>
      </w:r>
    </w:p>
    <w:p>
      <w:pPr>
        <w:pStyle w:val="ListParagraph"/>
        <w:numPr>
          <w:ilvl w:val="0"/>
          <w:numId w:val="1"/>
        </w:numPr>
        <w:spacing w:after="90" w:line="264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Possible weight regain — a patient has gained 2 or more pounds since their last check-in.</w:t>
      </w:r>
    </w:p>
    <w:p>
      <w:pPr>
        <w:spacing w:after="20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1"/>
          <w:szCs w:val="21"/>
        </w:rPr>
        <w:t xml:space="preserve">Patients with a flag are sorted to the top of your roster automatically.</w:t>
      </w:r>
    </w:p>
    <w:p>
      <w:pPr>
        <w:pStyle w:val="Heading1"/>
        <w:pBdr>
          <w:bottom w:val="single" w:color="CCCCCC" w:sz="4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1A1A1A"/>
          <w:sz w:val="28"/>
          <w:szCs w:val="28"/>
        </w:rPr>
        <w:t xml:space="preserve">3. Viewing a Patient</w:t>
      </w:r>
    </w:p>
    <w:p>
      <w:pPr>
        <w:spacing w:after="16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1"/>
          <w:szCs w:val="21"/>
        </w:rPr>
        <w:t xml:space="preserve">Tap any patient on your roster to see their shared health profile — whatever categories they've consented to share (macros, weight, measurements, medical conditions, medications, supplements, GLP-1 data, exercise, mental wellness, women's or men's health, and biomarkers, depending on what they've opted into) plus a history of their past submissions.</w:t>
      </w:r>
    </w:p>
    <w:p>
      <w:pPr>
        <w:pStyle w:val="Heading1"/>
        <w:pBdr>
          <w:bottom w:val="single" w:color="CCCCCC" w:sz="4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1A1A1A"/>
          <w:sz w:val="28"/>
          <w:szCs w:val="28"/>
        </w:rPr>
        <w:t xml:space="preserve">4. What You Can't See</w:t>
      </w:r>
    </w:p>
    <w:p>
      <w:pPr>
        <w:spacing w:after="16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1"/>
          <w:szCs w:val="21"/>
        </w:rPr>
        <w:t xml:space="preserve">A patient's account is private to them by default. You only ever see what a patient has actively chosen to share with your practice — nothing more. If a category is withheld, the patient detail page tells you plainly that it's withheld, rather than showing nothing and leaving you to wonder.</w:t>
      </w:r>
    </w:p>
    <w:p>
      <w:pPr>
        <w:pStyle w:val="Heading1"/>
        <w:pBdr>
          <w:bottom w:val="single" w:color="CCCCCC" w:sz="4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1A1A1A"/>
          <w:sz w:val="28"/>
          <w:szCs w:val="28"/>
        </w:rPr>
        <w:t xml:space="preserve">5. Adding More Staff</w:t>
      </w:r>
    </w:p>
    <w:p>
      <w:pPr>
        <w:spacing w:after="16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1"/>
          <w:szCs w:val="21"/>
        </w:rPr>
        <w:t xml:space="preserve">Anyone else at your practice can register their own login the same way you did — same clinic code, their own name and PIN. There's no limit on how many staff accounts your clinic can have.</w:t>
      </w:r>
    </w:p>
    <w:p>
      <w:pPr>
        <w:pStyle w:val="Heading1"/>
        <w:pBdr>
          <w:bottom w:val="single" w:color="CCCCCC" w:sz="4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1A1A1A"/>
          <w:sz w:val="28"/>
          <w:szCs w:val="28"/>
        </w:rPr>
        <w:t xml:space="preserve">Getting Help</w:t>
      </w:r>
    </w:p>
    <w:p>
      <w:pPr>
        <w:spacing w:after="16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1"/>
          <w:szCs w:val="21"/>
        </w:rPr>
        <w:t xml:space="preserve">Suzanne Evans, Founder — SJK &amp; Sons LLC  |  suzanne.evans@gritleanpulse.com</w:t>
      </w:r>
    </w:p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A5A5A"/>
        <w:sz w:val="15"/>
        <w:szCs w:val="15"/>
      </w:rPr>
      <w:t xml:space="preserve">GritLeanPulse — SJK &amp; Sons LLC — Clinic Partner Resource   |   Page </w:t>
    </w:r>
    <w:r>
      <w:rPr>
        <w:rFonts w:ascii="Calibri" w:cs="Calibri" w:eastAsia="Calibri" w:hAnsi="Calibri"/>
        <w:color w:val="5A5A5A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0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5e7082b234456380246fb242703f6165ea88302a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2026-09-16T00:41:44.114Z</dcterms:created>
  <dcterms:modified xsi:type="dcterms:W3CDTF">2026-09-16T00:41:44.114Z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