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drawing>
          <wp:inline distT="0" distB="0" distL="0" distR="0">
            <wp:extent cx="2476500" cy="1076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bottom w:val="single" w:color="CCCCCC" w:sz="4" w:space="8"/>
        </w:pBdr>
        <w:spacing w:after="300"/>
        <w:jc w:val="center"/>
      </w:pPr>
      <w:r>
        <w:rPr>
          <w:sz w:val="2"/>
          <w:szCs w:val="2"/>
        </w:rPr>
        <w:t xml:space="preserve"/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1A1A1A"/>
          <w:sz w:val="40"/>
          <w:szCs w:val="40"/>
        </w:rPr>
        <w:t xml:space="preserve">Patient Consent &amp; Data Sharing</w:t>
      </w:r>
    </w:p>
    <w:p>
      <w:pPr>
        <w:spacing w:after="60"/>
        <w:jc w:val="center"/>
      </w:pPr>
      <w:r>
        <w:rPr>
          <w:rFonts w:ascii="Calibri" w:cs="Calibri" w:eastAsia="Calibri" w:hAnsi="Calibri"/>
          <w:i/>
          <w:iCs/>
          <w:color w:val="5A5A5A"/>
          <w:sz w:val="24"/>
          <w:szCs w:val="24"/>
        </w:rPr>
        <w:t xml:space="preserve">How patient data sharing actually works under your partnership</w:t>
      </w:r>
    </w:p>
    <w:p>
      <w:pPr>
        <w:spacing w:after="400"/>
        <w:jc w:val="center"/>
      </w:pPr>
      <w:r>
        <w:rPr>
          <w:rFonts w:ascii="Calibri" w:cs="Calibri" w:eastAsia="Calibri" w:hAnsi="Calibri"/>
          <w:color w:val="5A5A5A"/>
          <w:sz w:val="18"/>
          <w:szCs w:val="18"/>
        </w:rPr>
        <w:t xml:space="preserve">GritLeanPulse — SJK &amp; Sons LLC</w:t>
      </w:r>
    </w:p>
    <w:p>
      <w:pPr>
        <w:pStyle w:val="Heading1"/>
        <w:pBdr>
          <w:bottom w:val="single" w:color="CCCCCC" w:sz="4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1A1A1A"/>
          <w:sz w:val="28"/>
          <w:szCs w:val="28"/>
        </w:rPr>
        <w:t xml:space="preserve">Sharing Is Always Patient-Initiated</w:t>
      </w:r>
    </w:p>
    <w:p>
      <w:pPr>
        <w:spacing w:after="1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A GritLeanPulse patient's account is private to them by default — enrolling with your clinic code does not automatically grant your practice access to their health data. Access only happens when a patient actively chooses to share, using their own Clinic Data Sharing controls inside the app.</w:t>
      </w:r>
    </w:p>
    <w:p>
      <w:pPr>
        <w:pStyle w:val="Heading1"/>
        <w:pBdr>
          <w:bottom w:val="single" w:color="CCCCCC" w:sz="4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1A1A1A"/>
          <w:sz w:val="28"/>
          <w:szCs w:val="28"/>
        </w:rPr>
        <w:t xml:space="preserve">What a Patient Can Choose to Share</w:t>
      </w:r>
    </w:p>
    <w:p>
      <w:pPr>
        <w:pStyle w:val="ListParagraph"/>
        <w:numPr>
          <w:ilvl w:val="0"/>
          <w:numId w:val="1"/>
        </w:numPr>
        <w:spacing w:after="90" w:line="264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Provider Messaging — a direct message thread with your practice, entirely at the patient's discretion.</w:t>
      </w:r>
    </w:p>
    <w:p>
      <w:pPr>
        <w:pStyle w:val="ListParagraph"/>
        <w:numPr>
          <w:ilvl w:val="0"/>
          <w:numId w:val="1"/>
        </w:numPr>
        <w:spacing w:after="90" w:line="264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Progress Reports — a snapshot they tap to send, typically before an appointment.</w:t>
      </w:r>
    </w:p>
    <w:p>
      <w:pPr>
        <w:pStyle w:val="ListParagraph"/>
        <w:numPr>
          <w:ilvl w:val="0"/>
          <w:numId w:val="1"/>
        </w:numPr>
        <w:spacing w:after="90" w:line="264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Ongoing category sharing — a patient can opt into sharing specific categories (weight, macros, medications, lab results, and others) on a continuing basis, which is what powers the roster and patient-detail views in your Clinic Portal.</w:t>
      </w:r>
    </w:p>
    <w:p>
      <w:pPr>
        <w:spacing w:after="20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Whatever a patient has not opted into is never visible to your staff — the system enforces this on the server, not just in the interface, and your Clinic Portal explicitly discloses which categories a given patient has withheld rather than silently showing nothing.</w:t>
      </w:r>
    </w:p>
    <w:p>
      <w:pPr>
        <w:pStyle w:val="Heading1"/>
        <w:pBdr>
          <w:bottom w:val="single" w:color="CCCCCC" w:sz="4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1A1A1A"/>
          <w:sz w:val="28"/>
          <w:szCs w:val="28"/>
        </w:rPr>
        <w:t xml:space="preserve">What This Means for Your Practice</w:t>
      </w:r>
    </w:p>
    <w:p>
      <w:pPr>
        <w:spacing w:after="1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Your staff only ever see what a patient has consented to share. There is no way to browse a non-enrolled or non-consenting patient's data, and there is no bulk or backdoor access to information beyond what's been explicitly opted into.</w:t>
      </w:r>
    </w:p>
    <w:p>
      <w:pPr>
        <w:pStyle w:val="Heading1"/>
        <w:pBdr>
          <w:bottom w:val="single" w:color="CCCCCC" w:sz="4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1A1A1A"/>
          <w:sz w:val="28"/>
          <w:szCs w:val="28"/>
        </w:rPr>
        <w:t xml:space="preserve">For Your Own Compliance Documentation</w:t>
      </w:r>
    </w:p>
    <w:p>
      <w:pPr>
        <w:spacing w:after="1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If your practice's internal policy requires documented patient notice about data-sharing arrangements with third-party tools, you're welcome to reference this: patients control what health data (if any) is shared with your practice through GritLeanPulse, on an ongoing, revocable, opt-in basis, through settings the patient controls directly in the app.</w:t>
      </w:r>
    </w:p>
    <w:p>
      <w:pPr>
        <w:pStyle w:val="Heading1"/>
        <w:pBdr>
          <w:bottom w:val="single" w:color="CCCCCC" w:sz="4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1A1A1A"/>
          <w:sz w:val="28"/>
          <w:szCs w:val="28"/>
        </w:rPr>
        <w:t xml:space="preserve">Questions</w:t>
      </w:r>
    </w:p>
    <w:p>
      <w:pPr>
        <w:spacing w:after="1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Suzanne Evans, Founder — SJK &amp; Sons LLC  |  suzanne.evans@gritleanpulse.com</w:t>
      </w:r>
    </w:p>
    <w:sectPr>
      <w:footerReference w:type="default" r:id="rId7"/>
      <w:pgSz w:w="12240" w:h="15840" w:orient="portrait"/>
      <w:pgMar w:top="500" w:right="1080" w:bottom="5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5A5A"/>
        <w:sz w:val="15"/>
        <w:szCs w:val="15"/>
      </w:rPr>
      <w:t xml:space="preserve">GritLeanPulse — SJK &amp; Sons LLC — Clinic Partner Resource   |   Page </w:t>
    </w:r>
    <w:r>
      <w:rPr>
        <w:rFonts w:ascii="Calibri" w:cs="Calibri" w:eastAsia="Calibri" w:hAnsi="Calibri"/>
        <w:color w:val="5A5A5A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0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5e7082b234456380246fb242703f6165ea88302a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2026-09-16T05:18:38.911Z</dcterms:created>
  <dcterms:modified xsi:type="dcterms:W3CDTF">2026-09-16T05:18:38.915Z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